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F4" w:rsidRDefault="00381ABD">
      <w:r w:rsidRPr="00381ABD">
        <w:drawing>
          <wp:inline distT="0" distB="0" distL="0" distR="0">
            <wp:extent cx="923925" cy="10382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3925" cy="1038225"/>
                    </a:xfrm>
                    <a:prstGeom prst="rect">
                      <a:avLst/>
                    </a:prstGeom>
                    <a:noFill/>
                    <a:ln w="9525">
                      <a:noFill/>
                      <a:miter lim="800000"/>
                      <a:headEnd/>
                      <a:tailEnd/>
                    </a:ln>
                  </pic:spPr>
                </pic:pic>
              </a:graphicData>
            </a:graphic>
          </wp:inline>
        </w:drawing>
      </w:r>
    </w:p>
    <w:p w:rsidR="00381ABD" w:rsidRDefault="00381ABD"/>
    <w:p w:rsidR="00381ABD" w:rsidRPr="004B6CAB" w:rsidRDefault="00381ABD" w:rsidP="00381ABD">
      <w:pPr>
        <w:spacing w:after="0" w:line="240" w:lineRule="auto"/>
        <w:jc w:val="right"/>
        <w:rPr>
          <w:rFonts w:ascii="Garamond" w:hAnsi="Garamond" w:cs="Arial"/>
          <w:sz w:val="24"/>
          <w:szCs w:val="24"/>
          <w:u w:val="single"/>
        </w:rPr>
      </w:pPr>
      <w:proofErr w:type="spellStart"/>
      <w:r>
        <w:rPr>
          <w:rFonts w:ascii="Garamond" w:hAnsi="Garamond" w:cs="Arial"/>
          <w:sz w:val="24"/>
          <w:szCs w:val="24"/>
          <w:u w:val="single"/>
        </w:rPr>
        <w:t>Exp</w:t>
      </w:r>
      <w:proofErr w:type="spellEnd"/>
      <w:r>
        <w:rPr>
          <w:rFonts w:ascii="Garamond" w:hAnsi="Garamond" w:cs="Arial"/>
          <w:sz w:val="24"/>
          <w:szCs w:val="24"/>
          <w:u w:val="single"/>
        </w:rPr>
        <w:t>. Contratación 25</w:t>
      </w:r>
      <w:r w:rsidRPr="004B6CAB">
        <w:rPr>
          <w:rFonts w:ascii="Garamond" w:hAnsi="Garamond" w:cs="Arial"/>
          <w:sz w:val="24"/>
          <w:szCs w:val="24"/>
          <w:u w:val="single"/>
        </w:rPr>
        <w:t>/2016</w:t>
      </w:r>
    </w:p>
    <w:p w:rsidR="00ED6DE1" w:rsidRDefault="00ED6DE1" w:rsidP="00ED6DE1">
      <w:pPr>
        <w:jc w:val="right"/>
        <w:rPr>
          <w:rFonts w:ascii="Garamond" w:hAnsi="Garamond" w:cs="Arial"/>
          <w:b/>
          <w:sz w:val="14"/>
        </w:rPr>
      </w:pPr>
    </w:p>
    <w:p w:rsidR="00381ABD" w:rsidRPr="00ED6DE1" w:rsidRDefault="00381ABD" w:rsidP="00ED6DE1">
      <w:pPr>
        <w:jc w:val="right"/>
        <w:rPr>
          <w:rFonts w:ascii="Garamond" w:hAnsi="Garamond" w:cs="Arial"/>
          <w:b/>
          <w:sz w:val="14"/>
        </w:rPr>
      </w:pPr>
      <w:r w:rsidRPr="00ED6DE1">
        <w:rPr>
          <w:rFonts w:ascii="Garamond" w:hAnsi="Garamond" w:cs="Arial"/>
          <w:b/>
          <w:sz w:val="14"/>
        </w:rPr>
        <w:t>CONTRATACIÓN DE SERVICIOS ENERGÉTICOS  Y MANTENIMIENTO CON GARANTÍA TOTAL DEL ALUMBRADO PÚBLICO MUNICIPAL MEDIANTE UN CONTRATO MIXTO DE SUMINISTRO Y SERVICIOS</w:t>
      </w:r>
    </w:p>
    <w:p w:rsidR="00381ABD" w:rsidRDefault="00381ABD"/>
    <w:p w:rsidR="00381ABD" w:rsidRPr="00381ABD" w:rsidRDefault="00381ABD">
      <w:pPr>
        <w:rPr>
          <w:b/>
          <w:u w:val="single"/>
        </w:rPr>
      </w:pPr>
      <w:r w:rsidRPr="00381ABD">
        <w:rPr>
          <w:b/>
          <w:u w:val="single"/>
        </w:rPr>
        <w:t>RESPUESTA A LAS DUDAS PLANTEADAS POR LICITADORES</w:t>
      </w:r>
    </w:p>
    <w:p w:rsidR="00381ABD" w:rsidRPr="00381ABD" w:rsidRDefault="00381ABD">
      <w:pPr>
        <w:rPr>
          <w:b/>
          <w:u w:val="single"/>
        </w:rPr>
      </w:pPr>
      <w:r w:rsidRPr="00381ABD">
        <w:rPr>
          <w:b/>
          <w:u w:val="single"/>
        </w:rPr>
        <w:t>1.- PLIEGO ADMINISTRATIVO</w:t>
      </w:r>
    </w:p>
    <w:p w:rsidR="00381ABD" w:rsidRPr="008C27A1" w:rsidRDefault="00381ABD" w:rsidP="00381ABD">
      <w:pPr>
        <w:spacing w:after="0" w:line="240" w:lineRule="auto"/>
        <w:ind w:left="720"/>
        <w:rPr>
          <w:rFonts w:ascii="Calibri" w:eastAsia="Times New Roman" w:hAnsi="Calibri" w:cs="Times New Roman"/>
          <w:lang w:eastAsia="es-ES"/>
        </w:rPr>
      </w:pPr>
      <w:r w:rsidRPr="008C27A1">
        <w:rPr>
          <w:rFonts w:ascii="Calibri" w:eastAsia="Times New Roman" w:hAnsi="Calibri" w:cs="Times New Roman"/>
          <w:color w:val="1D2C12"/>
          <w:lang w:eastAsia="es-ES"/>
        </w:rPr>
        <w:t>1.</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 xml:space="preserve">Según se indica en el apartado </w:t>
      </w:r>
      <w:r w:rsidRPr="008C27A1">
        <w:rPr>
          <w:rFonts w:ascii="Calibri" w:eastAsia="Times New Roman" w:hAnsi="Calibri" w:cs="Times New Roman"/>
          <w:i/>
          <w:iCs/>
          <w:color w:val="1D2C12"/>
          <w:lang w:eastAsia="es-ES"/>
        </w:rPr>
        <w:t>A.4 Solvencia y Técnica y Profesional</w:t>
      </w:r>
      <w:r w:rsidRPr="008C27A1">
        <w:rPr>
          <w:rFonts w:ascii="Calibri" w:eastAsia="Times New Roman" w:hAnsi="Calibri" w:cs="Times New Roman"/>
          <w:color w:val="1D2C12"/>
          <w:lang w:eastAsia="es-ES"/>
        </w:rPr>
        <w:t xml:space="preserve"> del PCAP sobre la documentación a aportar en el sobre </w:t>
      </w:r>
      <w:proofErr w:type="gramStart"/>
      <w:r w:rsidRPr="008C27A1">
        <w:rPr>
          <w:rFonts w:ascii="Calibri" w:eastAsia="Times New Roman" w:hAnsi="Calibri" w:cs="Times New Roman"/>
          <w:color w:val="1D2C12"/>
          <w:lang w:eastAsia="es-ES"/>
        </w:rPr>
        <w:t>A</w:t>
      </w:r>
      <w:proofErr w:type="gramEnd"/>
      <w:r w:rsidRPr="008C27A1">
        <w:rPr>
          <w:rFonts w:ascii="Calibri" w:eastAsia="Times New Roman" w:hAnsi="Calibri" w:cs="Times New Roman"/>
          <w:color w:val="1D2C12"/>
          <w:lang w:eastAsia="es-ES"/>
        </w:rPr>
        <w:t>, se solicita:</w:t>
      </w:r>
    </w:p>
    <w:p w:rsidR="00381ABD" w:rsidRPr="00C81B7D" w:rsidRDefault="00381ABD" w:rsidP="00381ABD">
      <w:pPr>
        <w:spacing w:after="0" w:line="240" w:lineRule="auto"/>
        <w:ind w:left="1440"/>
        <w:jc w:val="both"/>
        <w:rPr>
          <w:rFonts w:eastAsia="Times New Roman" w:cs="Times New Roman"/>
          <w:lang w:eastAsia="es-ES"/>
        </w:rPr>
      </w:pPr>
      <w:r w:rsidRPr="008C27A1">
        <w:rPr>
          <w:rFonts w:ascii="Calibri" w:eastAsia="Times New Roman" w:hAnsi="Calibri" w:cs="Times New Roman"/>
          <w:color w:val="1D2C12"/>
          <w:lang w:eastAsia="es-ES"/>
        </w:rPr>
        <w:t>a.</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En el apartado b) el organigrama de la platilla, así como los medios humanos y técnicos para la obra, ¿en el caso de presentarse a la licitación una UTE hay que presentar un organigrama de la plantilla de cada empresa y aparte una declaración conjunta de las empresas con los medios humanos y técnicos a realizar la obra?</w:t>
      </w:r>
      <w:r>
        <w:rPr>
          <w:rFonts w:ascii="Calibri" w:eastAsia="Times New Roman" w:hAnsi="Calibri" w:cs="Times New Roman"/>
          <w:color w:val="1D2C12"/>
          <w:lang w:eastAsia="es-ES"/>
        </w:rPr>
        <w:t xml:space="preserve"> </w:t>
      </w:r>
      <w:r w:rsidRPr="00C81B7D">
        <w:rPr>
          <w:rFonts w:eastAsia="Times New Roman" w:cs="Arial"/>
          <w:color w:val="FF0000"/>
          <w:lang w:eastAsia="es-ES"/>
        </w:rPr>
        <w:t xml:space="preserve">BASTA CON QUE LOS REQUISITOS DE SOLVENCIA CONCURRAN EN UNO DE LOS PARTICIPANTES, SIN QUE SEA PRECISO QUE CONCURRA EN TODOS, PUESTO QUE LA ESENCIA DE LA UTE RADICA EN LA SUMA DE APTITUDES PARA ALCANZAR CONJUNTAMENTE UNAS CARACTERISTICAS QUE INDIVIDUALMNET NO DISPONEN LOS PARTICIPES. POR TANTO, BASTA CON UN ORGANIGRAMA DE PLANTILLA DE CADA EMPRESA QUE, SUMANDO,  CONSTITUYAN LA PLANTILLA </w:t>
      </w:r>
      <w:r w:rsidRPr="00C81B7D">
        <w:rPr>
          <w:rFonts w:cs="Arial"/>
          <w:color w:val="FF0000"/>
          <w:lang w:val="es-ES_tradnl"/>
        </w:rPr>
        <w:t xml:space="preserve">EXIGIDOS POR LA LEGISLACIÓN VIGENTE, EN SU CASO, Y QUE SEA SUFICIENTE PARA </w:t>
      </w:r>
      <w:r w:rsidRPr="00C81B7D">
        <w:rPr>
          <w:rFonts w:cs="Arial"/>
          <w:color w:val="FF0000"/>
          <w:lang w:eastAsia="es-ES"/>
        </w:rPr>
        <w:t>SATISFACER ADECUADAMENTE LAS EXIGENCIAS DEL PLIEGO, TAL Y COMO EXIGE EL PLIEGO ADMVO.</w:t>
      </w:r>
    </w:p>
    <w:p w:rsidR="00381ABD" w:rsidRPr="008C27A1" w:rsidRDefault="00381ABD" w:rsidP="00381ABD">
      <w:pPr>
        <w:spacing w:after="0" w:line="240" w:lineRule="auto"/>
        <w:ind w:left="1440"/>
        <w:rPr>
          <w:rFonts w:ascii="Calibri" w:eastAsia="Times New Roman" w:hAnsi="Calibri" w:cs="Times New Roman"/>
          <w:lang w:eastAsia="es-ES"/>
        </w:rPr>
      </w:pPr>
      <w:r w:rsidRPr="008C27A1">
        <w:rPr>
          <w:rFonts w:ascii="Calibri" w:eastAsia="Times New Roman" w:hAnsi="Calibri" w:cs="Times New Roman"/>
          <w:color w:val="1D2C12"/>
          <w:lang w:eastAsia="es-ES"/>
        </w:rPr>
        <w:t>b.</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En el apartado c) una declaración de instalaciones, equipos y cualquier elemento disponible para la obra, ¿en el caso de presentarse a la licitación una UTE se puede presentar una declaración conjunta de las empresas?</w:t>
      </w:r>
      <w:r>
        <w:rPr>
          <w:rFonts w:ascii="Calibri" w:eastAsia="Times New Roman" w:hAnsi="Calibri" w:cs="Times New Roman"/>
          <w:color w:val="1D2C12"/>
          <w:lang w:eastAsia="es-ES"/>
        </w:rPr>
        <w:t xml:space="preserve"> </w:t>
      </w:r>
      <w:r w:rsidRPr="0000629C">
        <w:rPr>
          <w:rFonts w:ascii="Calibri" w:eastAsia="Times New Roman" w:hAnsi="Calibri" w:cs="Times New Roman"/>
          <w:color w:val="FF0000"/>
          <w:lang w:eastAsia="es-ES"/>
        </w:rPr>
        <w:t>IDEM QUE EN EL APARTADO ANTERIOR</w:t>
      </w:r>
    </w:p>
    <w:p w:rsidR="00381ABD" w:rsidRPr="008C27A1" w:rsidRDefault="00381ABD" w:rsidP="00381ABD">
      <w:pPr>
        <w:spacing w:after="0" w:line="240" w:lineRule="auto"/>
        <w:ind w:left="1440"/>
        <w:rPr>
          <w:rFonts w:ascii="Calibri" w:eastAsia="Times New Roman" w:hAnsi="Calibri" w:cs="Times New Roman"/>
          <w:lang w:eastAsia="es-ES"/>
        </w:rPr>
      </w:pPr>
      <w:r w:rsidRPr="008C27A1">
        <w:rPr>
          <w:rFonts w:ascii="Calibri" w:eastAsia="Times New Roman" w:hAnsi="Calibri" w:cs="Times New Roman"/>
          <w:color w:val="1D2C12"/>
          <w:lang w:eastAsia="es-ES"/>
        </w:rPr>
        <w:t>c.</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 xml:space="preserve">En el apartado d) una declaración de las medidas y sistemas de control de la calidad del sistema de </w:t>
      </w:r>
      <w:proofErr w:type="gramStart"/>
      <w:r w:rsidRPr="008C27A1">
        <w:rPr>
          <w:rFonts w:ascii="Calibri" w:eastAsia="Times New Roman" w:hAnsi="Calibri" w:cs="Times New Roman"/>
          <w:color w:val="1D2C12"/>
          <w:lang w:eastAsia="es-ES"/>
        </w:rPr>
        <w:t>producción disponibles</w:t>
      </w:r>
      <w:proofErr w:type="gramEnd"/>
      <w:r w:rsidRPr="008C27A1">
        <w:rPr>
          <w:rFonts w:ascii="Calibri" w:eastAsia="Times New Roman" w:hAnsi="Calibri" w:cs="Times New Roman"/>
          <w:color w:val="1D2C12"/>
          <w:lang w:eastAsia="es-ES"/>
        </w:rPr>
        <w:t>, ¿existe alguna exigencia mínima de norma ISO a disponer?</w:t>
      </w:r>
      <w:r>
        <w:rPr>
          <w:rFonts w:ascii="Calibri" w:eastAsia="Times New Roman" w:hAnsi="Calibri" w:cs="Times New Roman"/>
          <w:color w:val="1D2C12"/>
          <w:lang w:eastAsia="es-ES"/>
        </w:rPr>
        <w:t xml:space="preserve"> </w:t>
      </w:r>
      <w:r w:rsidRPr="0000629C">
        <w:rPr>
          <w:rFonts w:ascii="Calibri" w:eastAsia="Times New Roman" w:hAnsi="Calibri" w:cs="Times New Roman"/>
          <w:color w:val="FF0000"/>
          <w:lang w:eastAsia="es-ES"/>
        </w:rPr>
        <w:t>NO</w:t>
      </w:r>
    </w:p>
    <w:p w:rsidR="00381ABD" w:rsidRPr="0000629C" w:rsidRDefault="00381ABD" w:rsidP="00381ABD">
      <w:pPr>
        <w:spacing w:after="0" w:line="240" w:lineRule="auto"/>
        <w:ind w:left="1440"/>
        <w:rPr>
          <w:rFonts w:ascii="Calibri" w:eastAsia="Times New Roman" w:hAnsi="Calibri" w:cs="Times New Roman"/>
          <w:color w:val="FF0000"/>
          <w:lang w:eastAsia="es-ES"/>
        </w:rPr>
      </w:pPr>
      <w:r w:rsidRPr="008C27A1">
        <w:rPr>
          <w:rFonts w:ascii="Calibri" w:eastAsia="Times New Roman" w:hAnsi="Calibri" w:cs="Times New Roman"/>
          <w:color w:val="1D2C12"/>
          <w:lang w:eastAsia="es-ES"/>
        </w:rPr>
        <w:t>d.</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¿Es posible sustituir toda la documentación solicitada en A.4 si alguna de las empresas de la UTE posee clasificación I-1-E (alumbrados, iluminaciones y balizamientos luminosos) y P-1-d (Mantenimiento y reparación de equipos de instalaciones eléctricas y electrónicas?</w:t>
      </w:r>
      <w:r>
        <w:rPr>
          <w:rFonts w:ascii="Calibri" w:eastAsia="Times New Roman" w:hAnsi="Calibri" w:cs="Times New Roman"/>
          <w:color w:val="1D2C12"/>
          <w:lang w:eastAsia="es-ES"/>
        </w:rPr>
        <w:t xml:space="preserve"> </w:t>
      </w:r>
      <w:r w:rsidRPr="0000629C">
        <w:rPr>
          <w:rFonts w:ascii="Calibri" w:eastAsia="Times New Roman" w:hAnsi="Calibri" w:cs="Times New Roman"/>
          <w:color w:val="FF0000"/>
          <w:lang w:eastAsia="es-ES"/>
        </w:rPr>
        <w:t>NO, PUES NO EXISTE CLASIFICACION PROPIA DE EMPRESAS QUE ABARQUE TODAS LAS PRESTACIONES QUE EXIGE EL CONTRATO.</w:t>
      </w:r>
    </w:p>
    <w:p w:rsidR="00381ABD" w:rsidRPr="0000629C" w:rsidRDefault="00381ABD" w:rsidP="00381ABD">
      <w:pPr>
        <w:spacing w:after="0" w:line="240" w:lineRule="auto"/>
        <w:ind w:left="720"/>
        <w:rPr>
          <w:rFonts w:ascii="Calibri" w:eastAsia="Times New Roman" w:hAnsi="Calibri" w:cs="Times New Roman"/>
          <w:color w:val="FF0000"/>
          <w:lang w:eastAsia="es-ES"/>
        </w:rPr>
      </w:pPr>
      <w:r w:rsidRPr="008C27A1">
        <w:rPr>
          <w:rFonts w:ascii="Calibri" w:eastAsia="Times New Roman" w:hAnsi="Calibri" w:cs="Times New Roman"/>
          <w:color w:val="1D2C12"/>
          <w:lang w:eastAsia="es-ES"/>
        </w:rPr>
        <w:t>2.</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 xml:space="preserve">Según se indica en el apartado </w:t>
      </w:r>
      <w:r w:rsidRPr="008C27A1">
        <w:rPr>
          <w:rFonts w:ascii="Calibri" w:eastAsia="Times New Roman" w:hAnsi="Calibri" w:cs="Times New Roman"/>
          <w:i/>
          <w:iCs/>
          <w:color w:val="1D2C12"/>
          <w:lang w:eastAsia="es-ES"/>
        </w:rPr>
        <w:t>A.5 Documento de conocimiento de las instalaciones</w:t>
      </w:r>
      <w:r w:rsidRPr="008C27A1">
        <w:rPr>
          <w:rFonts w:ascii="Calibri" w:eastAsia="Times New Roman" w:hAnsi="Calibri" w:cs="Times New Roman"/>
          <w:color w:val="1D2C12"/>
          <w:lang w:eastAsia="es-ES"/>
        </w:rPr>
        <w:t xml:space="preserve"> del PCAP sobre la documentación a aportar en el sobre A, se solicita un documento que manifestando conocer y asumir el estado de las instalaciones, ¿es suficiente con el certificado que se nos envió en 2015 tras la visita realizada a las </w:t>
      </w:r>
      <w:r w:rsidRPr="008C27A1">
        <w:rPr>
          <w:rFonts w:ascii="Calibri" w:eastAsia="Times New Roman" w:hAnsi="Calibri" w:cs="Times New Roman"/>
          <w:color w:val="1D2C12"/>
          <w:lang w:eastAsia="es-ES"/>
        </w:rPr>
        <w:lastRenderedPageBreak/>
        <w:t>instalaciones de alumbrado público en el estudio la licitación de 2015 del alumbrado público que finalmente se desestimó (</w:t>
      </w:r>
      <w:proofErr w:type="spellStart"/>
      <w:r w:rsidRPr="008C27A1">
        <w:rPr>
          <w:rFonts w:ascii="Calibri" w:eastAsia="Times New Roman" w:hAnsi="Calibri" w:cs="Times New Roman"/>
          <w:color w:val="1D2C12"/>
          <w:lang w:eastAsia="es-ES"/>
        </w:rPr>
        <w:t>nºexp</w:t>
      </w:r>
      <w:proofErr w:type="spellEnd"/>
      <w:r w:rsidRPr="008C27A1">
        <w:rPr>
          <w:rFonts w:ascii="Calibri" w:eastAsia="Times New Roman" w:hAnsi="Calibri" w:cs="Times New Roman"/>
          <w:color w:val="1D2C12"/>
          <w:lang w:eastAsia="es-ES"/>
        </w:rPr>
        <w:t xml:space="preserve"> 22/2015)?</w:t>
      </w:r>
      <w:r>
        <w:rPr>
          <w:rFonts w:ascii="Calibri" w:eastAsia="Times New Roman" w:hAnsi="Calibri" w:cs="Times New Roman"/>
          <w:color w:val="1D2C12"/>
          <w:lang w:eastAsia="es-ES"/>
        </w:rPr>
        <w:t xml:space="preserve"> </w:t>
      </w:r>
      <w:r w:rsidRPr="0000629C">
        <w:rPr>
          <w:rFonts w:ascii="Calibri" w:eastAsia="Times New Roman" w:hAnsi="Calibri" w:cs="Times New Roman"/>
          <w:color w:val="FF0000"/>
          <w:lang w:eastAsia="es-ES"/>
        </w:rPr>
        <w:t xml:space="preserve">NO, HABRA UNA NUEVA VISITA DE OBRA PUES PUEDE QUE HAYA NUEVAS INSTALACIONES DESDE ENTONCES. SE COMUNICARA LA FECHA EN LA WEB </w:t>
      </w:r>
    </w:p>
    <w:p w:rsidR="00381ABD" w:rsidRDefault="00381ABD" w:rsidP="00381ABD">
      <w:pPr>
        <w:spacing w:after="0" w:line="240" w:lineRule="auto"/>
        <w:ind w:left="720"/>
        <w:rPr>
          <w:rFonts w:ascii="Calibri" w:eastAsia="Times New Roman" w:hAnsi="Calibri" w:cs="Times New Roman"/>
          <w:color w:val="1D2C12"/>
          <w:lang w:eastAsia="es-ES"/>
        </w:rPr>
      </w:pPr>
    </w:p>
    <w:p w:rsidR="00381ABD" w:rsidRDefault="00381ABD" w:rsidP="00381ABD">
      <w:pPr>
        <w:spacing w:after="0" w:line="240" w:lineRule="auto"/>
        <w:ind w:left="720"/>
        <w:rPr>
          <w:rFonts w:ascii="Calibri" w:eastAsia="Times New Roman" w:hAnsi="Calibri" w:cs="Times New Roman"/>
          <w:color w:val="FF0000"/>
          <w:lang w:eastAsia="es-ES"/>
        </w:rPr>
      </w:pPr>
      <w:r w:rsidRPr="008C27A1">
        <w:rPr>
          <w:rFonts w:ascii="Calibri" w:eastAsia="Times New Roman" w:hAnsi="Calibri" w:cs="Times New Roman"/>
          <w:color w:val="1D2C12"/>
          <w:lang w:eastAsia="es-ES"/>
        </w:rPr>
        <w:t>3.</w:t>
      </w:r>
      <w:r w:rsidRPr="008C27A1">
        <w:rPr>
          <w:rFonts w:ascii="Times New Roman" w:eastAsia="Times New Roman" w:hAnsi="Times New Roman" w:cs="Times New Roman"/>
          <w:color w:val="1D2C12"/>
          <w:sz w:val="14"/>
          <w:szCs w:val="14"/>
          <w:lang w:eastAsia="es-ES"/>
        </w:rPr>
        <w:t xml:space="preserve">       </w:t>
      </w:r>
      <w:r w:rsidRPr="008C27A1">
        <w:rPr>
          <w:rFonts w:ascii="Calibri" w:eastAsia="Times New Roman" w:hAnsi="Calibri" w:cs="Times New Roman"/>
          <w:color w:val="1D2C12"/>
          <w:lang w:eastAsia="es-ES"/>
        </w:rPr>
        <w:t xml:space="preserve">En relación al alcance de las prestaciones, no nos queda muy claro si la empresa adjudicataria se tiene que hacer cargo del FUNCIONAMIENTO DEL LA RED SEMAFÓRICA de </w:t>
      </w:r>
      <w:proofErr w:type="spellStart"/>
      <w:r w:rsidRPr="008C27A1">
        <w:rPr>
          <w:rFonts w:ascii="Calibri" w:eastAsia="Times New Roman" w:hAnsi="Calibri" w:cs="Times New Roman"/>
          <w:color w:val="1D2C12"/>
          <w:lang w:eastAsia="es-ES"/>
        </w:rPr>
        <w:t>Leioa</w:t>
      </w:r>
      <w:proofErr w:type="spellEnd"/>
      <w:r w:rsidRPr="008C27A1">
        <w:rPr>
          <w:rFonts w:ascii="Calibri" w:eastAsia="Times New Roman" w:hAnsi="Calibri" w:cs="Times New Roman"/>
          <w:color w:val="1D2C12"/>
          <w:lang w:eastAsia="es-ES"/>
        </w:rPr>
        <w:t xml:space="preserve"> (programaciones, regulaciones, funcionamiento…</w:t>
      </w:r>
      <w:proofErr w:type="spellStart"/>
      <w:r w:rsidRPr="008C27A1">
        <w:rPr>
          <w:rFonts w:ascii="Calibri" w:eastAsia="Times New Roman" w:hAnsi="Calibri" w:cs="Times New Roman"/>
          <w:color w:val="1D2C12"/>
          <w:lang w:eastAsia="es-ES"/>
        </w:rPr>
        <w:t>etc</w:t>
      </w:r>
      <w:proofErr w:type="spellEnd"/>
      <w:proofErr w:type="gramStart"/>
      <w:r w:rsidRPr="008C27A1">
        <w:rPr>
          <w:rFonts w:ascii="Calibri" w:eastAsia="Times New Roman" w:hAnsi="Calibri" w:cs="Times New Roman"/>
          <w:color w:val="1D2C12"/>
          <w:lang w:eastAsia="es-ES"/>
        </w:rPr>
        <w:t>) ,</w:t>
      </w:r>
      <w:proofErr w:type="gramEnd"/>
      <w:r w:rsidRPr="008C27A1">
        <w:rPr>
          <w:rFonts w:ascii="Calibri" w:eastAsia="Times New Roman" w:hAnsi="Calibri" w:cs="Times New Roman"/>
          <w:color w:val="1D2C12"/>
          <w:lang w:eastAsia="es-ES"/>
        </w:rPr>
        <w:t xml:space="preserve"> entendemos que sí del consumo energético, así como reparaciones y mantenimiento de los componentes de iluminación que integran los semáforos. ¿</w:t>
      </w:r>
      <w:proofErr w:type="gramStart"/>
      <w:r w:rsidRPr="008C27A1">
        <w:rPr>
          <w:rFonts w:ascii="Calibri" w:eastAsia="Times New Roman" w:hAnsi="Calibri" w:cs="Times New Roman"/>
          <w:color w:val="1D2C12"/>
          <w:lang w:eastAsia="es-ES"/>
        </w:rPr>
        <w:t>podríais</w:t>
      </w:r>
      <w:proofErr w:type="gramEnd"/>
      <w:r w:rsidRPr="008C27A1">
        <w:rPr>
          <w:rFonts w:ascii="Calibri" w:eastAsia="Times New Roman" w:hAnsi="Calibri" w:cs="Times New Roman"/>
          <w:color w:val="1D2C12"/>
          <w:lang w:eastAsia="es-ES"/>
        </w:rPr>
        <w:t xml:space="preserve"> concretarnos esto por favor?</w:t>
      </w:r>
      <w:r>
        <w:rPr>
          <w:rFonts w:ascii="Calibri" w:eastAsia="Times New Roman" w:hAnsi="Calibri" w:cs="Times New Roman"/>
          <w:color w:val="1D2C12"/>
          <w:lang w:eastAsia="es-ES"/>
        </w:rPr>
        <w:t xml:space="preserve"> </w:t>
      </w:r>
      <w:r w:rsidRPr="003A0316">
        <w:rPr>
          <w:rFonts w:ascii="Calibri" w:eastAsia="Times New Roman" w:hAnsi="Calibri" w:cs="Times New Roman"/>
          <w:color w:val="FF0000"/>
          <w:lang w:eastAsia="es-ES"/>
        </w:rPr>
        <w:t>SE INCLUYE TODO ELLO</w:t>
      </w:r>
    </w:p>
    <w:p w:rsidR="00381ABD" w:rsidRDefault="00381ABD" w:rsidP="00381ABD">
      <w:pPr>
        <w:spacing w:after="0" w:line="240" w:lineRule="auto"/>
        <w:ind w:left="720"/>
        <w:rPr>
          <w:rFonts w:ascii="Calibri" w:eastAsia="Times New Roman" w:hAnsi="Calibri" w:cs="Times New Roman"/>
          <w:color w:val="FF0000"/>
          <w:lang w:eastAsia="es-ES"/>
        </w:rPr>
      </w:pPr>
    </w:p>
    <w:p w:rsidR="00381ABD" w:rsidRPr="00D473D9" w:rsidRDefault="00381ABD" w:rsidP="00B40051">
      <w:pPr>
        <w:spacing w:after="0" w:line="240" w:lineRule="auto"/>
        <w:ind w:left="709" w:hanging="1"/>
        <w:rPr>
          <w:rFonts w:eastAsia="Times New Roman" w:cs="Times New Roman"/>
          <w:lang w:eastAsia="es-ES"/>
        </w:rPr>
      </w:pPr>
      <w:r w:rsidRPr="00D473D9">
        <w:rPr>
          <w:rFonts w:eastAsia="Times New Roman" w:cs="Times New Roman"/>
          <w:lang w:eastAsia="es-ES"/>
        </w:rPr>
        <w:t>4.- Dentro de los criterios cuantificables por fórmula, se valora la experiencia en mantenimiento de instalaciones de alumbrado exterior, otorgando puntos en función de los puntos de luz mantenidos. Quería confirmar que es posible presentar y que son aceptados los puntos de luz que mantiene el Grupo XXXX del que la licitadora pertenece al 100%.</w:t>
      </w:r>
    </w:p>
    <w:p w:rsidR="00381ABD" w:rsidRPr="00D473D9" w:rsidRDefault="00381ABD" w:rsidP="00381ABD">
      <w:pPr>
        <w:spacing w:after="0" w:line="240" w:lineRule="auto"/>
        <w:ind w:left="709" w:hanging="1"/>
        <w:rPr>
          <w:rFonts w:eastAsia="Times New Roman" w:cs="Times New Roman"/>
          <w:lang w:eastAsia="es-ES"/>
        </w:rPr>
      </w:pPr>
      <w:r w:rsidRPr="00D473D9">
        <w:rPr>
          <w:rFonts w:eastAsia="Times New Roman" w:cs="Times New Roman"/>
          <w:lang w:eastAsia="es-ES"/>
        </w:rPr>
        <w:t>Según la ley de contratos públicos es posible tal y como se establece en los artículos 63 y 67, pero agradecería que me confirmarais este punto por vuestra parte.</w:t>
      </w:r>
    </w:p>
    <w:p w:rsidR="00381ABD" w:rsidRPr="00D473D9" w:rsidRDefault="00381ABD" w:rsidP="00381ABD">
      <w:pPr>
        <w:numPr>
          <w:ilvl w:val="0"/>
          <w:numId w:val="1"/>
        </w:numPr>
        <w:spacing w:before="100" w:beforeAutospacing="1" w:after="100" w:afterAutospacing="1" w:line="240" w:lineRule="auto"/>
        <w:ind w:left="945"/>
        <w:rPr>
          <w:rFonts w:eastAsia="Times New Roman" w:cs="Times New Roman"/>
          <w:lang w:eastAsia="es-ES"/>
        </w:rPr>
      </w:pPr>
      <w:r w:rsidRPr="00D473D9">
        <w:rPr>
          <w:rFonts w:eastAsia="Times New Roman" w:cs="Times New Roman"/>
          <w:lang w:eastAsia="es-ES"/>
        </w:rPr>
        <w:t>Artículo 63:establece la posibilidad de sustituir la habilitación empresarial requerida por un compromiso de adscripción de medios </w:t>
      </w:r>
    </w:p>
    <w:p w:rsidR="00381ABD" w:rsidRPr="003A0316" w:rsidRDefault="00381ABD" w:rsidP="00381ABD">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D473D9">
        <w:rPr>
          <w:rFonts w:eastAsia="Times New Roman" w:cs="Times New Roman"/>
          <w:lang w:eastAsia="es-ES"/>
        </w:rPr>
        <w:t>Artículo 67.3: la posibilidad de que la clasificación sea aportada por una sociedad del grupo de empresas </w:t>
      </w:r>
    </w:p>
    <w:p w:rsidR="00381ABD" w:rsidRPr="00381ABD" w:rsidRDefault="00381ABD" w:rsidP="00381ABD">
      <w:pPr>
        <w:jc w:val="both"/>
        <w:rPr>
          <w:caps/>
          <w:color w:val="FF0000"/>
        </w:rPr>
      </w:pPr>
      <w:r w:rsidRPr="00381ABD">
        <w:rPr>
          <w:caps/>
          <w:color w:val="FF0000"/>
        </w:rPr>
        <w:t xml:space="preserve">Desde mi opinión al respecto, </w:t>
      </w:r>
      <w:r w:rsidR="00D473D9">
        <w:rPr>
          <w:caps/>
          <w:color w:val="FF0000"/>
        </w:rPr>
        <w:t xml:space="preserve">como secretaro de la mesa, </w:t>
      </w:r>
      <w:r w:rsidRPr="00381ABD">
        <w:rPr>
          <w:caps/>
          <w:color w:val="FF0000"/>
        </w:rPr>
        <w:t>y haciendo  la salvedad de que este asunto debe resolverlo la mesa de contratación, una vez analizados los documentos que aporte cada licitador, tal y como se estipula legalmente:</w:t>
      </w:r>
    </w:p>
    <w:p w:rsidR="00381ABD" w:rsidRPr="00381ABD" w:rsidRDefault="00381ABD" w:rsidP="00381ABD">
      <w:pPr>
        <w:jc w:val="both"/>
        <w:rPr>
          <w:caps/>
          <w:color w:val="FF0000"/>
        </w:rPr>
      </w:pPr>
      <w:r w:rsidRPr="00381ABD">
        <w:rPr>
          <w:caps/>
          <w:color w:val="FF0000"/>
        </w:rPr>
        <w:t>En lo relativo a la solvencia técnica, en virtud de lo preceptuado en el TRLCSP, art 63 y ss., para acreditar este requisito el licitador puede basarse en la solvencia y medios de terceros (siempre que demuestre que puede disponer de esos medios de terceros a la hora de  ejecutar el contrato), pero tal y como dice el art. 63, la ejecución del contrato corresponderá al licitador, no al tercero (art. 63</w:t>
      </w:r>
      <w:proofErr w:type="gramStart"/>
      <w:r w:rsidRPr="00381ABD">
        <w:rPr>
          <w:i/>
          <w:caps/>
          <w:color w:val="FF0000"/>
        </w:rPr>
        <w:t>.“</w:t>
      </w:r>
      <w:proofErr w:type="gramEnd"/>
      <w:r w:rsidRPr="00381ABD">
        <w:rPr>
          <w:i/>
          <w:caps/>
          <w:color w:val="FF0000"/>
        </w:rPr>
        <w:t xml:space="preserve">…siempre que demuestre que, </w:t>
      </w:r>
      <w:r w:rsidRPr="00381ABD">
        <w:rPr>
          <w:i/>
          <w:caps/>
          <w:color w:val="FF0000"/>
          <w:u w:val="single"/>
        </w:rPr>
        <w:t>para la ejecución</w:t>
      </w:r>
      <w:r w:rsidRPr="00381ABD">
        <w:rPr>
          <w:i/>
          <w:caps/>
          <w:color w:val="FF0000"/>
        </w:rPr>
        <w:t xml:space="preserve"> del contrato, </w:t>
      </w:r>
      <w:r w:rsidRPr="00381ABD">
        <w:rPr>
          <w:i/>
          <w:caps/>
          <w:color w:val="FF0000"/>
          <w:u w:val="single"/>
        </w:rPr>
        <w:t>dispone</w:t>
      </w:r>
      <w:r w:rsidRPr="00381ABD">
        <w:rPr>
          <w:caps/>
          <w:color w:val="FF0000"/>
          <w:u w:val="single"/>
        </w:rPr>
        <w:t>.</w:t>
      </w:r>
      <w:r w:rsidRPr="00381ABD">
        <w:rPr>
          <w:caps/>
          <w:color w:val="FF0000"/>
        </w:rPr>
        <w:t>- obviamente el licitador-.</w:t>
      </w:r>
      <w:r w:rsidRPr="00381ABD">
        <w:rPr>
          <w:i/>
          <w:caps/>
          <w:color w:val="FF0000"/>
        </w:rPr>
        <w:t xml:space="preserve"> de esos medios”</w:t>
      </w:r>
      <w:r w:rsidRPr="00381ABD">
        <w:rPr>
          <w:caps/>
          <w:color w:val="FF0000"/>
        </w:rPr>
        <w:t xml:space="preserve">)  </w:t>
      </w:r>
    </w:p>
    <w:p w:rsidR="00381ABD" w:rsidRPr="00381ABD" w:rsidRDefault="00381ABD" w:rsidP="00381ABD">
      <w:pPr>
        <w:jc w:val="both"/>
        <w:rPr>
          <w:caps/>
          <w:color w:val="FF0000"/>
        </w:rPr>
      </w:pPr>
      <w:r w:rsidRPr="00381ABD">
        <w:rPr>
          <w:caps/>
          <w:color w:val="FF0000"/>
        </w:rPr>
        <w:t xml:space="preserve">En lo relativo a la experiencia extraordinaria, como criterio de valoración,  y de la mima manera, el licitador </w:t>
      </w:r>
      <w:r w:rsidRPr="00381ABD">
        <w:rPr>
          <w:caps/>
          <w:color w:val="FF0000"/>
          <w:u w:val="single"/>
        </w:rPr>
        <w:t>debe demostrar que ha participado en el ejecución</w:t>
      </w:r>
      <w:r w:rsidRPr="00381ABD">
        <w:rPr>
          <w:caps/>
          <w:color w:val="FF0000"/>
        </w:rPr>
        <w:t xml:space="preserve"> de dichos contratos (ya ejecutados), se haya valido o no para ello de medios de terceros. </w:t>
      </w:r>
    </w:p>
    <w:p w:rsidR="00381ABD" w:rsidRDefault="00381ABD" w:rsidP="00381ABD">
      <w:pPr>
        <w:spacing w:after="0" w:line="240" w:lineRule="auto"/>
        <w:ind w:left="720"/>
        <w:rPr>
          <w:rFonts w:ascii="Calibri" w:eastAsia="Times New Roman" w:hAnsi="Calibri" w:cs="Times New Roman"/>
          <w:color w:val="FF0000"/>
          <w:lang w:eastAsia="es-ES"/>
        </w:rPr>
      </w:pPr>
    </w:p>
    <w:p w:rsidR="00381ABD" w:rsidRDefault="00381ABD">
      <w:pPr>
        <w:rPr>
          <w:u w:val="single"/>
        </w:rPr>
      </w:pPr>
    </w:p>
    <w:p w:rsidR="00D473D9" w:rsidRDefault="00D473D9">
      <w:pPr>
        <w:rPr>
          <w:u w:val="single"/>
        </w:rPr>
      </w:pPr>
    </w:p>
    <w:p w:rsidR="00D473D9" w:rsidRDefault="00D473D9">
      <w:pPr>
        <w:rPr>
          <w:u w:val="single"/>
        </w:rPr>
      </w:pPr>
    </w:p>
    <w:p w:rsidR="00D473D9" w:rsidRDefault="00D473D9">
      <w:pPr>
        <w:rPr>
          <w:u w:val="single"/>
        </w:rPr>
      </w:pPr>
    </w:p>
    <w:p w:rsidR="00381ABD" w:rsidRDefault="00381ABD">
      <w:pPr>
        <w:rPr>
          <w:b/>
          <w:u w:val="single"/>
        </w:rPr>
      </w:pPr>
      <w:r w:rsidRPr="00381ABD">
        <w:rPr>
          <w:b/>
          <w:u w:val="single"/>
        </w:rPr>
        <w:lastRenderedPageBreak/>
        <w:t>2.- PLIEGO TECNICO</w:t>
      </w:r>
    </w:p>
    <w:p w:rsidR="00381ABD" w:rsidRDefault="00381ABD">
      <w:pPr>
        <w:rPr>
          <w:b/>
          <w:u w:val="single"/>
        </w:rPr>
      </w:pPr>
    </w:p>
    <w:p w:rsidR="00381ABD" w:rsidRPr="008A2070" w:rsidRDefault="00381ABD" w:rsidP="00381ABD">
      <w:pPr>
        <w:spacing w:after="0" w:line="240" w:lineRule="auto"/>
        <w:jc w:val="both"/>
        <w:rPr>
          <w:rFonts w:ascii="Calibri" w:eastAsia="Times New Roman" w:hAnsi="Calibri" w:cs="Times New Roman"/>
          <w:color w:val="FF0000"/>
          <w:lang w:eastAsia="es-ES"/>
        </w:rPr>
      </w:pPr>
      <w:r>
        <w:rPr>
          <w:rFonts w:ascii="Calibri" w:eastAsia="Times New Roman" w:hAnsi="Calibri" w:cs="Times New Roman"/>
          <w:lang w:eastAsia="es-ES"/>
        </w:rPr>
        <w:t xml:space="preserve">.- </w:t>
      </w:r>
      <w:r w:rsidRPr="00014E25">
        <w:rPr>
          <w:rFonts w:ascii="Calibri" w:eastAsia="Times New Roman" w:hAnsi="Calibri" w:cs="Times New Roman"/>
          <w:lang w:eastAsia="es-ES"/>
        </w:rPr>
        <w:t xml:space="preserve">Pág. 15. ¿Hay que presentar en la oferta una descripción del sistema de PRL así como el contrato de las empresas licitadores? </w:t>
      </w:r>
      <w:r>
        <w:rPr>
          <w:rFonts w:ascii="Calibri" w:eastAsia="Times New Roman" w:hAnsi="Calibri" w:cs="Times New Roman"/>
          <w:lang w:eastAsia="es-ES"/>
        </w:rPr>
        <w:t xml:space="preserve"> </w:t>
      </w:r>
      <w:r w:rsidRPr="008A2070">
        <w:rPr>
          <w:rFonts w:ascii="Calibri" w:eastAsia="Times New Roman" w:hAnsi="Calibri" w:cs="Times New Roman"/>
          <w:color w:val="FF0000"/>
          <w:lang w:eastAsia="es-ES"/>
        </w:rPr>
        <w:t>HAY QUE PRESENTARLO TAL Y COMO INDICAN LOS PLIEGOS.</w:t>
      </w:r>
    </w:p>
    <w:p w:rsidR="00381ABD" w:rsidRPr="00014E25" w:rsidRDefault="00381ABD" w:rsidP="00381ABD">
      <w:pPr>
        <w:spacing w:after="0" w:line="240" w:lineRule="auto"/>
        <w:jc w:val="both"/>
        <w:rPr>
          <w:rFonts w:ascii="Calibri" w:eastAsia="Times New Roman" w:hAnsi="Calibri" w:cs="Times New Roman"/>
          <w:lang w:eastAsia="es-ES"/>
        </w:rPr>
      </w:pPr>
    </w:p>
    <w:p w:rsidR="00381ABD" w:rsidRPr="00014E25" w:rsidRDefault="00381ABD" w:rsidP="00381ABD">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xml:space="preserve">.- </w:t>
      </w:r>
      <w:r w:rsidRPr="00014E25">
        <w:rPr>
          <w:rFonts w:ascii="Calibri" w:eastAsia="Times New Roman" w:hAnsi="Calibri" w:cs="Times New Roman"/>
          <w:lang w:eastAsia="es-ES"/>
        </w:rPr>
        <w:t xml:space="preserve">Pág. 18. Se habla de describir el sistema de transmisión y escucha para la realización de los trabajos. ¿Existen zonas en </w:t>
      </w:r>
      <w:proofErr w:type="spellStart"/>
      <w:r w:rsidRPr="00014E25">
        <w:rPr>
          <w:rFonts w:ascii="Calibri" w:eastAsia="Times New Roman" w:hAnsi="Calibri" w:cs="Times New Roman"/>
          <w:lang w:eastAsia="es-ES"/>
        </w:rPr>
        <w:t>Leioa</w:t>
      </w:r>
      <w:proofErr w:type="spellEnd"/>
      <w:r w:rsidRPr="00014E25">
        <w:rPr>
          <w:rFonts w:ascii="Calibri" w:eastAsia="Times New Roman" w:hAnsi="Calibri" w:cs="Times New Roman"/>
          <w:lang w:eastAsia="es-ES"/>
        </w:rPr>
        <w:t xml:space="preserve"> sin cobertura??</w:t>
      </w:r>
      <w:r>
        <w:rPr>
          <w:rFonts w:ascii="Calibri" w:eastAsia="Times New Roman" w:hAnsi="Calibri" w:cs="Times New Roman"/>
          <w:lang w:eastAsia="es-ES"/>
        </w:rPr>
        <w:t xml:space="preserve"> </w:t>
      </w:r>
      <w:r w:rsidRPr="008A2070">
        <w:rPr>
          <w:rFonts w:ascii="Calibri" w:eastAsia="Times New Roman" w:hAnsi="Calibri" w:cs="Times New Roman"/>
          <w:color w:val="FF0000"/>
          <w:lang w:eastAsia="es-ES"/>
        </w:rPr>
        <w:t>LO DESCONOCEMOS</w:t>
      </w:r>
    </w:p>
    <w:p w:rsidR="00381ABD" w:rsidRDefault="00381ABD" w:rsidP="00381ABD">
      <w:pPr>
        <w:spacing w:after="0" w:line="240" w:lineRule="auto"/>
        <w:rPr>
          <w:rFonts w:ascii="Calibri" w:eastAsia="Times New Roman" w:hAnsi="Calibri" w:cs="Times New Roman"/>
          <w:lang w:eastAsia="es-ES"/>
        </w:rPr>
      </w:pPr>
    </w:p>
    <w:p w:rsidR="00381ABD" w:rsidRDefault="00381ABD" w:rsidP="00381ABD">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xml:space="preserve">.- </w:t>
      </w:r>
      <w:r w:rsidRPr="00014E25">
        <w:rPr>
          <w:rFonts w:ascii="Calibri" w:eastAsia="Times New Roman" w:hAnsi="Calibri" w:cs="Times New Roman"/>
          <w:lang w:eastAsia="es-ES"/>
        </w:rPr>
        <w:t>Pág. 41. Se indica la ejecución de la prestación P4 en 6 meses, ¿se valora reducción? En el PCAP no queda claro si sería una mejora.</w:t>
      </w:r>
      <w:r>
        <w:rPr>
          <w:rFonts w:ascii="Calibri" w:eastAsia="Times New Roman" w:hAnsi="Calibri" w:cs="Times New Roman"/>
          <w:lang w:eastAsia="es-ES"/>
        </w:rPr>
        <w:t xml:space="preserve"> </w:t>
      </w:r>
      <w:r w:rsidRPr="008A2070">
        <w:rPr>
          <w:rFonts w:ascii="Calibri" w:eastAsia="Times New Roman" w:hAnsi="Calibri" w:cs="Times New Roman"/>
          <w:color w:val="FF0000"/>
          <w:lang w:eastAsia="es-ES"/>
        </w:rPr>
        <w:t>NO; DE VALORARS</w:t>
      </w:r>
      <w:r w:rsidR="00D473D9">
        <w:rPr>
          <w:rFonts w:ascii="Calibri" w:eastAsia="Times New Roman" w:hAnsi="Calibri" w:cs="Times New Roman"/>
          <w:color w:val="FF0000"/>
          <w:lang w:eastAsia="es-ES"/>
        </w:rPr>
        <w:t>E DEBERÍA ESTAR EN LOS CRITERIOS CUA</w:t>
      </w:r>
      <w:r w:rsidRPr="008A2070">
        <w:rPr>
          <w:rFonts w:ascii="Calibri" w:eastAsia="Times New Roman" w:hAnsi="Calibri" w:cs="Times New Roman"/>
          <w:color w:val="FF0000"/>
          <w:lang w:eastAsia="es-ES"/>
        </w:rPr>
        <w:t>NTIFICACBLES POR FORMULA, Y NO CONSTA.</w:t>
      </w:r>
    </w:p>
    <w:p w:rsidR="00381ABD" w:rsidRPr="00014E25" w:rsidRDefault="00381ABD" w:rsidP="00381ABD">
      <w:pPr>
        <w:spacing w:after="0" w:line="240" w:lineRule="auto"/>
        <w:jc w:val="both"/>
        <w:rPr>
          <w:rFonts w:ascii="Calibri" w:eastAsia="Times New Roman" w:hAnsi="Calibri" w:cs="Times New Roman"/>
          <w:lang w:eastAsia="es-ES"/>
        </w:rPr>
      </w:pPr>
      <w:r w:rsidRPr="00014E25">
        <w:rPr>
          <w:rFonts w:ascii="Calibri" w:eastAsia="Times New Roman" w:hAnsi="Calibri" w:cs="Times New Roman"/>
          <w:lang w:eastAsia="es-ES"/>
        </w:rPr>
        <w:t xml:space="preserve"> ¿</w:t>
      </w:r>
      <w:proofErr w:type="gramStart"/>
      <w:r w:rsidRPr="00014E25">
        <w:rPr>
          <w:rFonts w:ascii="Calibri" w:eastAsia="Times New Roman" w:hAnsi="Calibri" w:cs="Times New Roman"/>
          <w:lang w:eastAsia="es-ES"/>
        </w:rPr>
        <w:t>la</w:t>
      </w:r>
      <w:proofErr w:type="gramEnd"/>
      <w:r w:rsidRPr="00014E25">
        <w:rPr>
          <w:rFonts w:ascii="Calibri" w:eastAsia="Times New Roman" w:hAnsi="Calibri" w:cs="Times New Roman"/>
          <w:lang w:eastAsia="es-ES"/>
        </w:rPr>
        <w:t xml:space="preserve"> legalización de las instalaciones se puede realizar pasado ese plazo?</w:t>
      </w:r>
      <w:r>
        <w:rPr>
          <w:rFonts w:ascii="Calibri" w:eastAsia="Times New Roman" w:hAnsi="Calibri" w:cs="Times New Roman"/>
          <w:lang w:eastAsia="es-ES"/>
        </w:rPr>
        <w:t xml:space="preserve"> </w:t>
      </w:r>
      <w:r w:rsidRPr="008A2070">
        <w:rPr>
          <w:rFonts w:ascii="Calibri" w:eastAsia="Times New Roman" w:hAnsi="Calibri" w:cs="Times New Roman"/>
          <w:color w:val="FF0000"/>
          <w:lang w:eastAsia="es-ES"/>
        </w:rPr>
        <w:t>SI</w:t>
      </w:r>
    </w:p>
    <w:p w:rsidR="00381ABD" w:rsidRDefault="00381ABD" w:rsidP="00381ABD">
      <w:pPr>
        <w:spacing w:after="0" w:line="240" w:lineRule="auto"/>
        <w:jc w:val="both"/>
        <w:rPr>
          <w:rFonts w:ascii="Calibri" w:eastAsia="Times New Roman" w:hAnsi="Calibri" w:cs="Times New Roman"/>
          <w:lang w:eastAsia="es-ES"/>
        </w:rPr>
      </w:pPr>
    </w:p>
    <w:p w:rsidR="00381ABD" w:rsidRDefault="00381ABD" w:rsidP="00381ABD">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xml:space="preserve">.- </w:t>
      </w:r>
      <w:r w:rsidRPr="00014E25">
        <w:rPr>
          <w:rFonts w:ascii="Calibri" w:eastAsia="Times New Roman" w:hAnsi="Calibri" w:cs="Times New Roman"/>
          <w:lang w:eastAsia="es-ES"/>
        </w:rPr>
        <w:t xml:space="preserve">Pág. 65. (Anexo D) se indican requisito de los nuevos Centros de mando, se habla de IP 65 (sólo cumplirían armarios de Acero inoxidable, normativa pide IP55), pero se pide a los equipos de </w:t>
      </w:r>
      <w:proofErr w:type="spellStart"/>
      <w:r w:rsidRPr="00014E25">
        <w:rPr>
          <w:rFonts w:ascii="Calibri" w:eastAsia="Times New Roman" w:hAnsi="Calibri" w:cs="Times New Roman"/>
          <w:lang w:eastAsia="es-ES"/>
        </w:rPr>
        <w:t>Telegestión</w:t>
      </w:r>
      <w:proofErr w:type="spellEnd"/>
      <w:r w:rsidRPr="00014E25">
        <w:rPr>
          <w:rFonts w:ascii="Calibri" w:eastAsia="Times New Roman" w:hAnsi="Calibri" w:cs="Times New Roman"/>
          <w:lang w:eastAsia="es-ES"/>
        </w:rPr>
        <w:t xml:space="preserve"> (Anexo E) que permitan ir alojados en envolvente IP55, preguntamos esto por dos motivos: </w:t>
      </w:r>
    </w:p>
    <w:p w:rsidR="00381ABD" w:rsidRPr="008A2070" w:rsidRDefault="00381ABD" w:rsidP="00381ABD">
      <w:pPr>
        <w:spacing w:after="0" w:line="240" w:lineRule="auto"/>
        <w:jc w:val="both"/>
        <w:rPr>
          <w:rFonts w:ascii="Calibri" w:eastAsia="Times New Roman" w:hAnsi="Calibri" w:cs="Times New Roman"/>
          <w:color w:val="FF0000"/>
          <w:lang w:eastAsia="es-ES"/>
        </w:rPr>
      </w:pPr>
      <w:r w:rsidRPr="00014E25">
        <w:rPr>
          <w:rFonts w:ascii="Calibri" w:eastAsia="Times New Roman" w:hAnsi="Calibri" w:cs="Times New Roman"/>
          <w:lang w:eastAsia="es-ES"/>
        </w:rPr>
        <w:t xml:space="preserve">1.- existen equipos de </w:t>
      </w:r>
      <w:proofErr w:type="spellStart"/>
      <w:r w:rsidRPr="00014E25">
        <w:rPr>
          <w:rFonts w:ascii="Calibri" w:eastAsia="Times New Roman" w:hAnsi="Calibri" w:cs="Times New Roman"/>
          <w:lang w:eastAsia="es-ES"/>
        </w:rPr>
        <w:t>Telegestión</w:t>
      </w:r>
      <w:proofErr w:type="spellEnd"/>
      <w:r w:rsidRPr="00014E25">
        <w:rPr>
          <w:rFonts w:ascii="Calibri" w:eastAsia="Times New Roman" w:hAnsi="Calibri" w:cs="Times New Roman"/>
          <w:lang w:eastAsia="es-ES"/>
        </w:rPr>
        <w:t xml:space="preserve"> que pueden dar problemas de cobertura dentro de armarios de acero inoxidable (habría que sacar antenas)</w:t>
      </w:r>
      <w:r>
        <w:rPr>
          <w:rFonts w:ascii="Calibri" w:eastAsia="Times New Roman" w:hAnsi="Calibri" w:cs="Times New Roman"/>
          <w:lang w:eastAsia="es-ES"/>
        </w:rPr>
        <w:t xml:space="preserve"> </w:t>
      </w:r>
      <w:r w:rsidRPr="008A2070">
        <w:rPr>
          <w:rFonts w:ascii="Calibri" w:eastAsia="Times New Roman" w:hAnsi="Calibri" w:cs="Times New Roman"/>
          <w:color w:val="FF0000"/>
          <w:lang w:eastAsia="es-ES"/>
        </w:rPr>
        <w:t>EN ESE CASO</w:t>
      </w:r>
      <w:r w:rsidR="00D473D9">
        <w:rPr>
          <w:rFonts w:ascii="Calibri" w:eastAsia="Times New Roman" w:hAnsi="Calibri" w:cs="Times New Roman"/>
          <w:color w:val="FF0000"/>
          <w:lang w:eastAsia="es-ES"/>
        </w:rPr>
        <w:t>,</w:t>
      </w:r>
      <w:r w:rsidRPr="008A2070">
        <w:rPr>
          <w:rFonts w:ascii="Calibri" w:eastAsia="Times New Roman" w:hAnsi="Calibri" w:cs="Times New Roman"/>
          <w:color w:val="FF0000"/>
          <w:lang w:eastAsia="es-ES"/>
        </w:rPr>
        <w:t xml:space="preserve"> </w:t>
      </w:r>
      <w:r w:rsidR="00D473D9">
        <w:rPr>
          <w:rFonts w:ascii="Calibri" w:eastAsia="Times New Roman" w:hAnsi="Calibri" w:cs="Times New Roman"/>
          <w:color w:val="FF0000"/>
          <w:lang w:eastAsia="es-ES"/>
        </w:rPr>
        <w:t>SE DEBE UTILIZAR</w:t>
      </w:r>
      <w:r w:rsidRPr="008A2070">
        <w:rPr>
          <w:rFonts w:ascii="Calibri" w:eastAsia="Times New Roman" w:hAnsi="Calibri" w:cs="Times New Roman"/>
          <w:color w:val="FF0000"/>
          <w:lang w:eastAsia="es-ES"/>
        </w:rPr>
        <w:t xml:space="preserve"> UN EQUIPO D</w:t>
      </w:r>
      <w:r w:rsidR="00D473D9">
        <w:rPr>
          <w:rFonts w:ascii="Calibri" w:eastAsia="Times New Roman" w:hAnsi="Calibri" w:cs="Times New Roman"/>
          <w:color w:val="FF0000"/>
          <w:lang w:eastAsia="es-ES"/>
        </w:rPr>
        <w:t>E TELEGESTION QUE PUEDA IR INCL</w:t>
      </w:r>
      <w:r w:rsidRPr="008A2070">
        <w:rPr>
          <w:rFonts w:ascii="Calibri" w:eastAsia="Times New Roman" w:hAnsi="Calibri" w:cs="Times New Roman"/>
          <w:color w:val="FF0000"/>
          <w:lang w:eastAsia="es-ES"/>
        </w:rPr>
        <w:t xml:space="preserve">UIDO DENTRO </w:t>
      </w:r>
      <w:r w:rsidR="00D473D9">
        <w:rPr>
          <w:rFonts w:ascii="Calibri" w:eastAsia="Times New Roman" w:hAnsi="Calibri" w:cs="Times New Roman"/>
          <w:color w:val="FF0000"/>
          <w:lang w:eastAsia="es-ES"/>
        </w:rPr>
        <w:t>DE ACERO INOXIDABLE O SACAR</w:t>
      </w:r>
      <w:r w:rsidRPr="008A2070">
        <w:rPr>
          <w:rFonts w:ascii="Calibri" w:eastAsia="Times New Roman" w:hAnsi="Calibri" w:cs="Times New Roman"/>
          <w:color w:val="FF0000"/>
          <w:lang w:eastAsia="es-ES"/>
        </w:rPr>
        <w:t xml:space="preserve"> EL EQUIPO DE TELEGESTION DEL CUADRO</w:t>
      </w:r>
      <w:r w:rsidR="00D473D9">
        <w:rPr>
          <w:rFonts w:ascii="Calibri" w:eastAsia="Times New Roman" w:hAnsi="Calibri" w:cs="Times New Roman"/>
          <w:color w:val="FF0000"/>
          <w:lang w:eastAsia="es-ES"/>
        </w:rPr>
        <w:t xml:space="preserve"> DE CENRRO DE MANDO, PONERLO</w:t>
      </w:r>
      <w:r w:rsidRPr="008A2070">
        <w:rPr>
          <w:rFonts w:ascii="Calibri" w:eastAsia="Times New Roman" w:hAnsi="Calibri" w:cs="Times New Roman"/>
          <w:color w:val="FF0000"/>
          <w:lang w:eastAsia="es-ES"/>
        </w:rPr>
        <w:t xml:space="preserve"> EN UN CUADRO CON ENVOLVENTE IP55</w:t>
      </w:r>
      <w:r w:rsidR="00D473D9">
        <w:rPr>
          <w:rFonts w:ascii="Calibri" w:eastAsia="Times New Roman" w:hAnsi="Calibri" w:cs="Times New Roman"/>
          <w:color w:val="FF0000"/>
          <w:lang w:eastAsia="es-ES"/>
        </w:rPr>
        <w:t>.</w:t>
      </w:r>
    </w:p>
    <w:p w:rsidR="00381ABD" w:rsidRPr="008A2070" w:rsidRDefault="00381ABD" w:rsidP="00381ABD">
      <w:pPr>
        <w:spacing w:after="0" w:line="240" w:lineRule="auto"/>
        <w:jc w:val="both"/>
        <w:rPr>
          <w:rFonts w:ascii="Calibri" w:eastAsia="Times New Roman" w:hAnsi="Calibri" w:cs="Times New Roman"/>
          <w:color w:val="FF0000"/>
          <w:lang w:eastAsia="es-ES"/>
        </w:rPr>
      </w:pPr>
      <w:r w:rsidRPr="00014E25">
        <w:rPr>
          <w:rFonts w:ascii="Calibri" w:eastAsia="Times New Roman" w:hAnsi="Calibri" w:cs="Times New Roman"/>
          <w:lang w:eastAsia="es-ES"/>
        </w:rPr>
        <w:t xml:space="preserve"> 2.- </w:t>
      </w:r>
      <w:proofErr w:type="gramStart"/>
      <w:r w:rsidRPr="00014E25">
        <w:rPr>
          <w:rFonts w:ascii="Calibri" w:eastAsia="Times New Roman" w:hAnsi="Calibri" w:cs="Times New Roman"/>
          <w:lang w:eastAsia="es-ES"/>
        </w:rPr>
        <w:t>en</w:t>
      </w:r>
      <w:proofErr w:type="gramEnd"/>
      <w:r w:rsidRPr="00014E25">
        <w:rPr>
          <w:rFonts w:ascii="Calibri" w:eastAsia="Times New Roman" w:hAnsi="Calibri" w:cs="Times New Roman"/>
          <w:lang w:eastAsia="es-ES"/>
        </w:rPr>
        <w:t xml:space="preserve"> la visita del 14/09/2016 a las instalaciones se nos enseñaron varios armarios para comprobar estado y se nos indicó de varios casos que se estaban pendientes de </w:t>
      </w:r>
      <w:proofErr w:type="spellStart"/>
      <w:r w:rsidRPr="00014E25">
        <w:rPr>
          <w:rFonts w:ascii="Calibri" w:eastAsia="Times New Roman" w:hAnsi="Calibri" w:cs="Times New Roman"/>
          <w:lang w:eastAsia="es-ES"/>
        </w:rPr>
        <w:t>recepcionar</w:t>
      </w:r>
      <w:proofErr w:type="spellEnd"/>
      <w:r w:rsidRPr="00014E25">
        <w:rPr>
          <w:rFonts w:ascii="Calibri" w:eastAsia="Times New Roman" w:hAnsi="Calibri" w:cs="Times New Roman"/>
          <w:lang w:eastAsia="es-ES"/>
        </w:rPr>
        <w:t>, todos estos armarios eran de hormigón IP55, por lo que, ¿en el caso que haya que cambiar armarios pueden ser IP55 como indica el reglamento y así seguir con la misma estética del municipio?</w:t>
      </w:r>
      <w:r>
        <w:rPr>
          <w:rFonts w:ascii="Calibri" w:eastAsia="Times New Roman" w:hAnsi="Calibri" w:cs="Times New Roman"/>
          <w:lang w:eastAsia="es-ES"/>
        </w:rPr>
        <w:t xml:space="preserve"> </w:t>
      </w:r>
      <w:r w:rsidRPr="008A2070">
        <w:rPr>
          <w:rFonts w:ascii="Calibri" w:eastAsia="Times New Roman" w:hAnsi="Calibri" w:cs="Times New Roman"/>
          <w:color w:val="FF0000"/>
          <w:lang w:eastAsia="es-ES"/>
        </w:rPr>
        <w:t xml:space="preserve">TODOS LOS NUEVOS TIENEN QUE SER DE ACERO INOXIDABLE (ANEXO D, REQUISITOS DE CENTROS DE MANDO NUEVOS). SI ALGUNO DE LOS EXISTENTES CUNPLE CON LA NOMARTIVA IP 55, LOGICAMENTE NO HARA FALTA SUSTITUIRLOS. </w:t>
      </w:r>
    </w:p>
    <w:p w:rsidR="00381ABD" w:rsidRDefault="00381ABD" w:rsidP="00381ABD">
      <w:pPr>
        <w:spacing w:after="0" w:line="240" w:lineRule="auto"/>
        <w:rPr>
          <w:rFonts w:ascii="Calibri" w:eastAsia="Times New Roman" w:hAnsi="Calibri" w:cs="Times New Roman"/>
          <w:lang w:eastAsia="es-ES"/>
        </w:rPr>
      </w:pPr>
    </w:p>
    <w:p w:rsidR="00381ABD" w:rsidRDefault="00381ABD" w:rsidP="00381ABD">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xml:space="preserve">.- </w:t>
      </w:r>
      <w:r w:rsidRPr="00014E25">
        <w:rPr>
          <w:rFonts w:ascii="Calibri" w:eastAsia="Times New Roman" w:hAnsi="Calibri" w:cs="Times New Roman"/>
          <w:lang w:eastAsia="es-ES"/>
        </w:rPr>
        <w:t>Pág. 52 (Anexo B) en los requisitos mínimos que debe cumplir las luminarias se habla del tipo de aleación de fundición  inyectado de las luminarias… este dato no viene de normal en las fichas técnicas, y además hay fabricante que trabajan otras aleaciones que las normativa las apoya, ¿es correcto este requisito? Ídem sobre el acabado, los fabricantes no dan ese valor…</w:t>
      </w:r>
      <w:r>
        <w:rPr>
          <w:rFonts w:ascii="Calibri" w:eastAsia="Times New Roman" w:hAnsi="Calibri" w:cs="Times New Roman"/>
          <w:lang w:eastAsia="es-ES"/>
        </w:rPr>
        <w:t xml:space="preserve"> </w:t>
      </w:r>
    </w:p>
    <w:p w:rsidR="00381ABD" w:rsidRPr="008A2070" w:rsidRDefault="00381ABD" w:rsidP="00381ABD">
      <w:pPr>
        <w:spacing w:after="0" w:line="240" w:lineRule="auto"/>
        <w:jc w:val="both"/>
        <w:rPr>
          <w:rFonts w:ascii="Calibri" w:eastAsia="Times New Roman" w:hAnsi="Calibri" w:cs="Times New Roman"/>
          <w:color w:val="FF0000"/>
          <w:lang w:eastAsia="es-ES"/>
        </w:rPr>
      </w:pPr>
      <w:r w:rsidRPr="008A2070">
        <w:rPr>
          <w:rFonts w:ascii="Calibri" w:eastAsia="Times New Roman" w:hAnsi="Calibri" w:cs="Times New Roman"/>
          <w:color w:val="FF0000"/>
          <w:lang w:eastAsia="es-ES"/>
        </w:rPr>
        <w:t>SI EXISTEN ALEACIONES QUE CUMPLAN CON LA NORMATIVA ACTUAL (NORMATIVAS UNE SOBRE CALIDAD DE MATERIALES) SERAN IGUALMENTE ADMITIDAS.</w:t>
      </w:r>
      <w:r w:rsidR="0064778F">
        <w:rPr>
          <w:rFonts w:ascii="Calibri" w:eastAsia="Times New Roman" w:hAnsi="Calibri" w:cs="Times New Roman"/>
          <w:color w:val="FF0000"/>
          <w:lang w:eastAsia="es-ES"/>
        </w:rPr>
        <w:t xml:space="preserve"> EN LOS PLIEGOS TECNICOS QUE DISPONE EL IDAE EN SU WEB PUEDEN VER OTROS TIPOS DE MATERIALES QUE SERIAN ADMISIBLES.</w:t>
      </w:r>
    </w:p>
    <w:p w:rsidR="00D473D9" w:rsidRDefault="00D473D9" w:rsidP="0064778F">
      <w:pPr>
        <w:spacing w:after="0" w:line="240" w:lineRule="auto"/>
      </w:pPr>
    </w:p>
    <w:p w:rsidR="0064778F" w:rsidRPr="009C12FB" w:rsidRDefault="0064778F" w:rsidP="0064778F">
      <w:pPr>
        <w:spacing w:after="0" w:line="240" w:lineRule="auto"/>
        <w:rPr>
          <w:rFonts w:ascii="Calibri" w:eastAsia="Times New Roman" w:hAnsi="Calibri" w:cs="Times New Roman"/>
          <w:color w:val="FF0000"/>
          <w:lang w:eastAsia="es-ES"/>
        </w:rPr>
      </w:pPr>
      <w:r>
        <w:t xml:space="preserve">.- </w:t>
      </w:r>
      <w:r w:rsidRPr="00014E25">
        <w:rPr>
          <w:rFonts w:ascii="Calibri" w:eastAsia="Times New Roman" w:hAnsi="Calibri" w:cs="Times New Roman"/>
          <w:lang w:eastAsia="es-ES"/>
        </w:rPr>
        <w:t>Pág. 77. Para la realización del estudio lumínico sección</w:t>
      </w:r>
      <w:r>
        <w:rPr>
          <w:rFonts w:ascii="Calibri" w:eastAsia="Times New Roman" w:hAnsi="Calibri" w:cs="Times New Roman"/>
          <w:lang w:eastAsia="es-ES"/>
        </w:rPr>
        <w:t xml:space="preserve"> </w:t>
      </w:r>
      <w:r w:rsidRPr="00014E25">
        <w:rPr>
          <w:rFonts w:ascii="Calibri" w:eastAsia="Times New Roman" w:hAnsi="Calibri" w:cs="Times New Roman"/>
          <w:lang w:eastAsia="es-ES"/>
        </w:rPr>
        <w:t>2: son 2 carriles unidireccionales o bidireccionales</w:t>
      </w:r>
      <w:proofErr w:type="gramStart"/>
      <w:r w:rsidRPr="00014E25">
        <w:rPr>
          <w:rFonts w:ascii="Calibri" w:eastAsia="Times New Roman" w:hAnsi="Calibri" w:cs="Times New Roman"/>
          <w:lang w:eastAsia="es-ES"/>
        </w:rPr>
        <w:t>?</w:t>
      </w:r>
      <w:proofErr w:type="gramEnd"/>
      <w:r>
        <w:rPr>
          <w:rFonts w:ascii="Calibri" w:eastAsia="Times New Roman" w:hAnsi="Calibri" w:cs="Times New Roman"/>
          <w:lang w:eastAsia="es-ES"/>
        </w:rPr>
        <w:t xml:space="preserve"> </w:t>
      </w:r>
      <w:r w:rsidRPr="00014E25">
        <w:rPr>
          <w:rFonts w:ascii="Calibri" w:eastAsia="Times New Roman" w:hAnsi="Calibri" w:cs="Times New Roman"/>
          <w:lang w:eastAsia="es-ES"/>
        </w:rPr>
        <w:t xml:space="preserve">1 o 2 observadores. Porque de una de las maneras la potencia seria en torno a los 110W, no mínimo 85W… y en el otro caso </w:t>
      </w:r>
      <w:proofErr w:type="spellStart"/>
      <w:r w:rsidRPr="00014E25">
        <w:rPr>
          <w:rFonts w:ascii="Calibri" w:eastAsia="Times New Roman" w:hAnsi="Calibri" w:cs="Times New Roman"/>
          <w:lang w:eastAsia="es-ES"/>
        </w:rPr>
        <w:t>si</w:t>
      </w:r>
      <w:proofErr w:type="spellEnd"/>
      <w:r w:rsidRPr="00014E25">
        <w:rPr>
          <w:rFonts w:ascii="Calibri" w:eastAsia="Times New Roman" w:hAnsi="Calibri" w:cs="Times New Roman"/>
          <w:lang w:eastAsia="es-ES"/>
        </w:rPr>
        <w:t xml:space="preserve"> que se llegaría a esa potencia mínima.</w:t>
      </w:r>
      <w:r>
        <w:rPr>
          <w:rFonts w:ascii="Calibri" w:eastAsia="Times New Roman" w:hAnsi="Calibri" w:cs="Times New Roman"/>
          <w:lang w:eastAsia="es-ES"/>
        </w:rPr>
        <w:t xml:space="preserve">  </w:t>
      </w:r>
      <w:r w:rsidRPr="009C12FB">
        <w:rPr>
          <w:rFonts w:ascii="Calibri" w:eastAsia="Times New Roman" w:hAnsi="Calibri" w:cs="Times New Roman"/>
          <w:color w:val="FF0000"/>
          <w:lang w:eastAsia="es-ES"/>
        </w:rPr>
        <w:t>LA POTENCIA MAXIMA ACEPTADA SON 85 W.</w:t>
      </w:r>
    </w:p>
    <w:p w:rsidR="0064778F" w:rsidRPr="00014E25" w:rsidRDefault="0064778F" w:rsidP="0064778F">
      <w:pPr>
        <w:spacing w:after="0" w:line="240" w:lineRule="auto"/>
        <w:rPr>
          <w:rFonts w:ascii="Calibri" w:eastAsia="Times New Roman" w:hAnsi="Calibri" w:cs="Times New Roman"/>
          <w:lang w:eastAsia="es-ES"/>
        </w:rPr>
      </w:pPr>
      <w:r w:rsidRPr="00014E25">
        <w:rPr>
          <w:rFonts w:ascii="Calibri" w:eastAsia="Times New Roman" w:hAnsi="Calibri" w:cs="Times New Roman"/>
          <w:lang w:eastAsia="es-ES"/>
        </w:rPr>
        <w:t> </w:t>
      </w:r>
    </w:p>
    <w:p w:rsidR="0064778F" w:rsidRDefault="0064778F" w:rsidP="0064778F">
      <w:pPr>
        <w:spacing w:after="0" w:line="240" w:lineRule="auto"/>
        <w:rPr>
          <w:rFonts w:ascii="Calibri" w:eastAsia="Times New Roman" w:hAnsi="Calibri" w:cs="Times New Roman"/>
          <w:lang w:eastAsia="es-ES"/>
        </w:rPr>
      </w:pPr>
      <w:r>
        <w:rPr>
          <w:rFonts w:ascii="Calibri" w:eastAsia="Times New Roman" w:hAnsi="Calibri" w:cs="Times New Roman"/>
          <w:u w:val="single"/>
          <w:lang w:eastAsia="es-ES"/>
        </w:rPr>
        <w:t xml:space="preserve">.- </w:t>
      </w:r>
      <w:r w:rsidRPr="00014E25">
        <w:rPr>
          <w:rFonts w:ascii="Calibri" w:eastAsia="Times New Roman" w:hAnsi="Calibri" w:cs="Times New Roman"/>
          <w:u w:val="single"/>
          <w:lang w:eastAsia="es-ES"/>
        </w:rPr>
        <w:t>Auditoria 2015/2015:</w:t>
      </w:r>
      <w:r>
        <w:rPr>
          <w:rFonts w:ascii="Calibri" w:eastAsia="Times New Roman" w:hAnsi="Calibri" w:cs="Times New Roman"/>
          <w:u w:val="single"/>
          <w:lang w:eastAsia="es-ES"/>
        </w:rPr>
        <w:t xml:space="preserve"> </w:t>
      </w:r>
      <w:r w:rsidRPr="00014E25">
        <w:rPr>
          <w:rFonts w:ascii="Calibri" w:eastAsia="Times New Roman" w:hAnsi="Calibri" w:cs="Times New Roman"/>
          <w:lang w:eastAsia="es-ES"/>
        </w:rPr>
        <w:t>Pág. 46. (2012) Se habla de puesta a punto de sistema punto a punto en 350 luminarias. ¿Esto es orientativo</w:t>
      </w:r>
      <w:r>
        <w:rPr>
          <w:rFonts w:ascii="Calibri" w:eastAsia="Times New Roman" w:hAnsi="Calibri" w:cs="Times New Roman"/>
          <w:lang w:eastAsia="es-ES"/>
        </w:rPr>
        <w:t>,</w:t>
      </w:r>
      <w:r w:rsidRPr="00014E25">
        <w:rPr>
          <w:rFonts w:ascii="Calibri" w:eastAsia="Times New Roman" w:hAnsi="Calibri" w:cs="Times New Roman"/>
          <w:lang w:eastAsia="es-ES"/>
        </w:rPr>
        <w:t xml:space="preserve"> se quiere de verdad? ¿</w:t>
      </w:r>
      <w:proofErr w:type="gramStart"/>
      <w:r w:rsidRPr="00014E25">
        <w:rPr>
          <w:rFonts w:ascii="Calibri" w:eastAsia="Times New Roman" w:hAnsi="Calibri" w:cs="Times New Roman"/>
          <w:lang w:eastAsia="es-ES"/>
        </w:rPr>
        <w:t>a</w:t>
      </w:r>
      <w:proofErr w:type="gramEnd"/>
      <w:r w:rsidRPr="00014E25">
        <w:rPr>
          <w:rFonts w:ascii="Calibri" w:eastAsia="Times New Roman" w:hAnsi="Calibri" w:cs="Times New Roman"/>
          <w:lang w:eastAsia="es-ES"/>
        </w:rPr>
        <w:t xml:space="preserve"> qué Cetros de Mando haría referencia? ¿Tiene que ser RF o puede ser PWL?</w:t>
      </w:r>
    </w:p>
    <w:p w:rsidR="0064778F" w:rsidRDefault="0064778F" w:rsidP="0064778F">
      <w:pPr>
        <w:spacing w:after="0" w:line="240" w:lineRule="auto"/>
        <w:rPr>
          <w:rFonts w:ascii="Calibri" w:eastAsia="Times New Roman" w:hAnsi="Calibri" w:cs="Times New Roman"/>
          <w:color w:val="FF0000"/>
          <w:lang w:eastAsia="es-ES"/>
        </w:rPr>
      </w:pPr>
      <w:r w:rsidRPr="009C12FB">
        <w:rPr>
          <w:rFonts w:ascii="Calibri" w:eastAsia="Times New Roman" w:hAnsi="Calibri" w:cs="Times New Roman"/>
          <w:color w:val="FF0000"/>
          <w:lang w:eastAsia="es-ES"/>
        </w:rPr>
        <w:t>LA AUDITORIA ES MERAMENTE ORIENTATIVA, TAL Y COMO ESPECIFICAN EXPRESAMENTE LOS PLIEGOS. CADA LICITADOR PODRÁ HACER LA PROPUESTA QUE ESTIME OPORTUNA.</w:t>
      </w:r>
    </w:p>
    <w:p w:rsidR="0064778F" w:rsidRDefault="0064778F" w:rsidP="0064778F">
      <w:pPr>
        <w:spacing w:after="0" w:line="240" w:lineRule="auto"/>
        <w:rPr>
          <w:rFonts w:ascii="Calibri" w:eastAsia="Times New Roman" w:hAnsi="Calibri" w:cs="Times New Roman"/>
          <w:color w:val="FF0000"/>
          <w:lang w:eastAsia="es-ES"/>
        </w:rPr>
      </w:pPr>
    </w:p>
    <w:p w:rsidR="0064778F" w:rsidRDefault="0064778F" w:rsidP="0064778F">
      <w:pPr>
        <w:spacing w:after="0" w:line="240" w:lineRule="auto"/>
        <w:rPr>
          <w:rFonts w:ascii="Calibri" w:eastAsia="Times New Roman" w:hAnsi="Calibri" w:cs="Times New Roman"/>
          <w:i/>
          <w:color w:val="FF0000"/>
          <w:lang w:eastAsia="es-ES"/>
        </w:rPr>
      </w:pPr>
      <w:r>
        <w:rPr>
          <w:rFonts w:ascii="Calibri" w:eastAsia="Times New Roman" w:hAnsi="Calibri" w:cs="Times New Roman"/>
          <w:color w:val="FF0000"/>
          <w:lang w:eastAsia="es-ES"/>
        </w:rPr>
        <w:t xml:space="preserve">LOS CENTROS DE MANDO A LOS QUE HACE REFERENCIA LOS PUEDE ENCONTRAR EN EL </w:t>
      </w:r>
      <w:r w:rsidRPr="009C12FB">
        <w:rPr>
          <w:rFonts w:ascii="Calibri" w:eastAsia="Times New Roman" w:hAnsi="Calibri" w:cs="Times New Roman"/>
          <w:i/>
          <w:color w:val="FF0000"/>
          <w:lang w:eastAsia="es-ES"/>
        </w:rPr>
        <w:t>ANEXO J, ANEXO 5, FICHA TECNICA CENTROS DE MANDO-CIRCUITOS</w:t>
      </w:r>
    </w:p>
    <w:p w:rsidR="0064778F" w:rsidRDefault="0064778F" w:rsidP="0064778F">
      <w:pPr>
        <w:spacing w:after="0" w:line="240" w:lineRule="auto"/>
        <w:rPr>
          <w:rFonts w:ascii="Calibri" w:eastAsia="Times New Roman" w:hAnsi="Calibri" w:cs="Times New Roman"/>
          <w:color w:val="FF0000"/>
          <w:lang w:eastAsia="es-ES"/>
        </w:rPr>
      </w:pPr>
    </w:p>
    <w:p w:rsidR="0064778F" w:rsidRDefault="0064778F" w:rsidP="0064778F">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FF0000"/>
          <w:lang w:eastAsia="es-ES"/>
        </w:rPr>
        <w:t xml:space="preserve">NO SABEMOS A QUE SE REFIEREN CON RF o PWL </w:t>
      </w:r>
    </w:p>
    <w:p w:rsidR="00ED6DE1" w:rsidRDefault="00ED6DE1" w:rsidP="00B40051">
      <w:pPr>
        <w:spacing w:before="100" w:beforeAutospacing="1" w:after="100" w:afterAutospacing="1" w:line="240" w:lineRule="auto"/>
        <w:jc w:val="both"/>
      </w:pPr>
    </w:p>
    <w:p w:rsidR="00B40051" w:rsidRPr="00D473D9" w:rsidRDefault="00B40051" w:rsidP="00B40051">
      <w:pPr>
        <w:spacing w:before="100" w:beforeAutospacing="1" w:after="100" w:afterAutospacing="1" w:line="240" w:lineRule="auto"/>
        <w:jc w:val="both"/>
        <w:rPr>
          <w:rFonts w:eastAsia="Times New Roman" w:cs="Times New Roman"/>
          <w:color w:val="000000"/>
          <w:lang w:eastAsia="es-ES"/>
        </w:rPr>
      </w:pPr>
      <w:r w:rsidRPr="00D473D9">
        <w:t xml:space="preserve">.- </w:t>
      </w:r>
      <w:r w:rsidRPr="00D473D9">
        <w:rPr>
          <w:rFonts w:eastAsia="Times New Roman" w:cs="Times New Roman"/>
          <w:b/>
          <w:bCs/>
          <w:i/>
          <w:iCs/>
          <w:color w:val="1F497D"/>
          <w:lang w:eastAsia="es-ES"/>
        </w:rPr>
        <w:t xml:space="preserve">12.2.- Adecuación de las instalaciones a la normativa vigente y remodelaciones </w:t>
      </w:r>
    </w:p>
    <w:p w:rsidR="00B40051" w:rsidRPr="00D473D9" w:rsidRDefault="00B40051" w:rsidP="00B40051">
      <w:pPr>
        <w:spacing w:before="100" w:beforeAutospacing="1" w:after="100" w:afterAutospacing="1" w:line="240" w:lineRule="auto"/>
        <w:jc w:val="both"/>
        <w:rPr>
          <w:rFonts w:eastAsia="Times New Roman" w:cs="Times New Roman"/>
          <w:color w:val="1F497D"/>
          <w:lang w:eastAsia="es-ES"/>
        </w:rPr>
      </w:pPr>
      <w:r w:rsidRPr="00D473D9">
        <w:rPr>
          <w:rFonts w:eastAsia="Times New Roman" w:cs="Times New Roman"/>
          <w:i/>
          <w:iCs/>
          <w:color w:val="1F497D"/>
          <w:lang w:eastAsia="es-ES"/>
        </w:rPr>
        <w:t>Se consideran trabajos incluidos en este apartado aquellos derivados de las inspecciones para la legalización de las instalaciones, que deberán llevarse a cabo paralelamente a la ejecución de las obras de mejora y renovación de las instalaciones. Una vez ejecutados estos trabajos, le ESE deberá proceder a legalizar las instalaciones resultantes, a su cargo</w:t>
      </w:r>
      <w:r w:rsidRPr="00D473D9">
        <w:rPr>
          <w:rFonts w:eastAsia="Times New Roman" w:cs="Times New Roman"/>
          <w:color w:val="1F497D"/>
          <w:lang w:eastAsia="es-ES"/>
        </w:rPr>
        <w:t>”.</w:t>
      </w:r>
    </w:p>
    <w:p w:rsidR="00B40051" w:rsidRPr="00D473D9" w:rsidRDefault="00B40051" w:rsidP="00B40051">
      <w:pPr>
        <w:spacing w:before="100" w:beforeAutospacing="1" w:after="100" w:afterAutospacing="1" w:line="240" w:lineRule="auto"/>
        <w:jc w:val="both"/>
        <w:rPr>
          <w:rFonts w:eastAsia="Times New Roman" w:cs="Helvetica"/>
          <w:color w:val="000000"/>
          <w:lang w:eastAsia="es-ES"/>
        </w:rPr>
      </w:pPr>
      <w:r w:rsidRPr="00D473D9">
        <w:rPr>
          <w:rFonts w:eastAsia="Times New Roman" w:cs="Helvetica"/>
          <w:color w:val="181717"/>
          <w:lang w:eastAsia="es-ES"/>
        </w:rPr>
        <w:t>1.</w:t>
      </w:r>
      <w:r w:rsidRPr="00D473D9">
        <w:rPr>
          <w:rFonts w:eastAsia="Times New Roman" w:cs="Times New Roman"/>
          <w:color w:val="181717"/>
          <w:lang w:eastAsia="es-ES"/>
        </w:rPr>
        <w:t xml:space="preserve">       </w:t>
      </w:r>
      <w:r w:rsidRPr="00D473D9">
        <w:rPr>
          <w:rFonts w:eastAsia="Times New Roman" w:cs="Helvetica"/>
          <w:color w:val="181717"/>
          <w:lang w:eastAsia="es-ES"/>
        </w:rPr>
        <w:t>Según las consultas realizadas en la Delegación de Industria las instalaciones no deben ser objeto de una nueva legalización por el hecho de sustituir los receptores, en este caso las luminarias.</w:t>
      </w:r>
    </w:p>
    <w:p w:rsidR="00B40051" w:rsidRPr="00D473D9" w:rsidRDefault="00B40051" w:rsidP="00B40051">
      <w:pPr>
        <w:spacing w:before="100" w:beforeAutospacing="1" w:after="100" w:afterAutospacing="1" w:line="240" w:lineRule="auto"/>
        <w:jc w:val="both"/>
        <w:rPr>
          <w:rFonts w:eastAsia="Times New Roman" w:cs="Helvetica"/>
          <w:color w:val="000000"/>
          <w:lang w:eastAsia="es-ES"/>
        </w:rPr>
      </w:pPr>
      <w:r w:rsidRPr="00D473D9">
        <w:rPr>
          <w:rFonts w:eastAsia="Times New Roman" w:cs="Helvetica"/>
          <w:color w:val="181717"/>
          <w:lang w:eastAsia="es-ES"/>
        </w:rPr>
        <w:t>2.</w:t>
      </w:r>
      <w:r w:rsidRPr="00D473D9">
        <w:rPr>
          <w:rFonts w:eastAsia="Times New Roman" w:cs="Times New Roman"/>
          <w:color w:val="181717"/>
          <w:lang w:eastAsia="es-ES"/>
        </w:rPr>
        <w:t xml:space="preserve">       </w:t>
      </w:r>
      <w:r w:rsidRPr="00D473D9">
        <w:rPr>
          <w:rFonts w:eastAsia="Times New Roman" w:cs="Helvetica"/>
          <w:color w:val="181717"/>
          <w:lang w:eastAsia="es-ES"/>
        </w:rPr>
        <w:t xml:space="preserve">En el caso de que se refieran a las inspecciones a las que han debido ser sometidas las instalaciones por un Organismo de Control Autorizado (OCA), como licitantes les solicitamos nos informen del estado de las revisiones que han sido realizadas y los informes de las mismas con sus correcciones. Solicitamos dicha información al objeto de realizar una oferta acorde con la situación real de las instalaciones. </w:t>
      </w:r>
    </w:p>
    <w:p w:rsidR="00B40051" w:rsidRPr="00897B19" w:rsidRDefault="00B40051" w:rsidP="00B40051">
      <w:pPr>
        <w:rPr>
          <w:color w:val="FF0000"/>
        </w:rPr>
      </w:pPr>
      <w:r w:rsidRPr="00897B19">
        <w:rPr>
          <w:color w:val="FF0000"/>
        </w:rPr>
        <w:t xml:space="preserve"> LA INFORMAC</w:t>
      </w:r>
      <w:r>
        <w:rPr>
          <w:color w:val="FF0000"/>
        </w:rPr>
        <w:t>ION SORE EL ESTADO DE CUADROS D</w:t>
      </w:r>
      <w:r w:rsidRPr="00897B19">
        <w:rPr>
          <w:color w:val="FF0000"/>
        </w:rPr>
        <w:t xml:space="preserve">E MANDO Y LAS CORRECCIONES A HACER EN CADA UNO SE ENCUENTRA  EN EL </w:t>
      </w:r>
      <w:r w:rsidRPr="00897B19">
        <w:rPr>
          <w:i/>
          <w:color w:val="FF0000"/>
        </w:rPr>
        <w:t>PLIEGO TECNICO, ANEXO J, ANEXO 3, INVENTARIO DE CENTROS DE MANDO.- OBSERVACIONES</w:t>
      </w:r>
    </w:p>
    <w:p w:rsidR="00B40051" w:rsidRPr="00381ABD" w:rsidRDefault="00B40051">
      <w:pPr>
        <w:rPr>
          <w:b/>
          <w:u w:val="single"/>
        </w:rPr>
      </w:pPr>
    </w:p>
    <w:p w:rsidR="00381ABD" w:rsidRDefault="00381ABD">
      <w:pPr>
        <w:rPr>
          <w:u w:val="single"/>
        </w:rPr>
      </w:pPr>
    </w:p>
    <w:p w:rsidR="00381ABD" w:rsidRDefault="00381ABD">
      <w:pPr>
        <w:rPr>
          <w:u w:val="single"/>
        </w:rPr>
      </w:pPr>
    </w:p>
    <w:p w:rsidR="00381ABD" w:rsidRDefault="00381ABD">
      <w:pPr>
        <w:rPr>
          <w:u w:val="single"/>
        </w:rPr>
      </w:pPr>
    </w:p>
    <w:p w:rsidR="00381ABD" w:rsidRPr="00381ABD" w:rsidRDefault="00381ABD">
      <w:pPr>
        <w:rPr>
          <w:u w:val="single"/>
        </w:rPr>
      </w:pPr>
    </w:p>
    <w:p w:rsidR="00381ABD" w:rsidRDefault="00381ABD"/>
    <w:p w:rsidR="00381ABD" w:rsidRDefault="00381ABD"/>
    <w:sectPr w:rsidR="00381ABD" w:rsidSect="007449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F76"/>
    <w:multiLevelType w:val="multilevel"/>
    <w:tmpl w:val="78641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381ABD"/>
    <w:rsid w:val="00381ABD"/>
    <w:rsid w:val="0064778F"/>
    <w:rsid w:val="007449F4"/>
    <w:rsid w:val="007571D4"/>
    <w:rsid w:val="00B40051"/>
    <w:rsid w:val="00D473D9"/>
    <w:rsid w:val="00D75A05"/>
    <w:rsid w:val="00ED6D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1474</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Recursos02</dc:creator>
  <cp:keywords/>
  <dc:description/>
  <cp:lastModifiedBy>Recursos02</cp:lastModifiedBy>
  <cp:revision>5</cp:revision>
  <dcterms:created xsi:type="dcterms:W3CDTF">2016-09-15T12:10:00Z</dcterms:created>
  <dcterms:modified xsi:type="dcterms:W3CDTF">2016-09-15T12:39:00Z</dcterms:modified>
</cp:coreProperties>
</file>